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Краны мостовые электрические </w:t>
      </w:r>
    </w:p>
    <w:p>
      <w:pPr>
        <w:pStyle w:val="Normal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однобалочные опорные г/п 10,0 т.</w:t>
      </w:r>
    </w:p>
    <w:p>
      <w:pPr>
        <w:pStyle w:val="Normal"/>
        <w:rPr/>
      </w:pPr>
      <w:bookmarkStart w:id="0" w:name="_GoBack"/>
      <w:bookmarkStart w:id="1" w:name="_GoBack"/>
      <w:bookmarkEnd w:id="1"/>
      <w:r>
        <w:rPr/>
        <w:drawing>
          <wp:anchor behindDoc="0" distT="0" distB="0" distL="114300" distR="114300" simplePos="0" locked="0" layoutInCell="1" allowOverlap="1" relativeHeight="0">
            <wp:simplePos x="0" y="0"/>
            <wp:positionH relativeFrom="margin">
              <wp:posOffset>-367030</wp:posOffset>
            </wp:positionH>
            <wp:positionV relativeFrom="margin">
              <wp:posOffset>735330</wp:posOffset>
            </wp:positionV>
            <wp:extent cx="7103745" cy="1617345"/>
            <wp:effectExtent l="0" t="0" r="0" b="0"/>
            <wp:wrapSquare wrapText="bothSides"/>
            <wp:docPr id="0" name="Picture" descr="Кран опорный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Кран опорный г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745" cy="161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/>
          <w:b w:val="false"/>
          <w:sz w:val="24"/>
          <w:u w:val="none"/>
        </w:rPr>
      </w:pPr>
      <w:r>
        <w:rPr>
          <w:rFonts w:ascii="Times New Roman" w:hAnsi="Times New Roman"/>
          <w:b w:val="false"/>
          <w:sz w:val="24"/>
          <w:u w:val="none"/>
        </w:rPr>
        <w:t>Примечание: Чертеж не определяет конструкцию крана.</w:t>
      </w:r>
      <w:r>
        <w:pict>
          <v:rect fillcolor="#FFFFFF" style="position:absolute;width:1.15pt;height:12.15pt;mso-wrap-distance-left:504pt;mso-wrap-distance-right:504pt;mso-wrap-distance-top:0pt;mso-wrap-distance-bottom:0pt;margin-top:0.05pt;margin-left:0.05pt">
            <v:fill opacity="0f"/>
            <v:textbox inset="0in,0in,0in,0in">
              <w:txbxContent>
                <w:p>
                  <w:pPr>
                    <w:pStyle w:val="Normal"/>
                    <w:widowControl w:val="false"/>
                    <w:pBdr>
                      <w:top w:val="nil"/>
                      <w:left w:val="nil"/>
                      <w:bottom w:val="nil"/>
                      <w:right w:val="nil"/>
                    </w:pBdr>
                    <w:jc w:val="center"/>
                    <w:rPr/>
                  </w:pPr>
                  <w:r>
                    <w:rPr/>
                  </w:r>
                </w:p>
              </w:txbxContent>
            </v:textbox>
            <w10:wrap type="topAndBottom"/>
          </v:rect>
        </w:pict>
      </w:r>
    </w:p>
    <w:p>
      <w:pPr>
        <w:pStyle w:val="Normal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Категория размещения – У2; У3.</w:t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Режим работы – 3К (А3 ИСО 4301)</w:t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Температура окружающей среды от -20°С до +40°С (возможно от -40°С до +40°С)</w:t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Исполнение крана – общепромышленное.</w:t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Скорость передвижения крана – 0,45 м/с</w:t>
      </w:r>
    </w:p>
    <w:p>
      <w:pPr>
        <w:pStyle w:val="Normal"/>
        <w:rPr>
          <w:rFonts w:ascii="Times New Roman" w:hAnsi="Times New Roman"/>
          <w:b w:val="false"/>
          <w:u w:val="none"/>
        </w:rPr>
      </w:pPr>
      <w:r>
        <w:rPr>
          <w:rFonts w:ascii="Times New Roman" w:hAnsi="Times New Roman"/>
          <w:b w:val="false"/>
          <w:u w:val="none"/>
        </w:rPr>
        <w:t>Управление – с пола</w:t>
      </w:r>
    </w:p>
    <w:p>
      <w:pPr>
        <w:pStyle w:val="Normal"/>
        <w:jc w:val="center"/>
        <w:rPr>
          <w:b w:val="false"/>
        </w:rPr>
      </w:pPr>
      <w:r>
        <w:rPr>
          <w:b w:val="false"/>
        </w:rPr>
        <w:t>Грузоподъемность 10,0тн</w:t>
      </w:r>
    </w:p>
    <w:p>
      <w:pPr>
        <w:pStyle w:val="Normal"/>
        <w:jc w:val="center"/>
        <w:rPr>
          <w:b w:val="false"/>
        </w:rPr>
      </w:pPr>
      <w:r>
        <w:rPr>
          <w:b w:val="false"/>
        </w:rPr>
      </w:r>
    </w:p>
    <w:tbl>
      <w:tblPr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388"/>
        <w:gridCol w:w="816"/>
        <w:gridCol w:w="719"/>
        <w:gridCol w:w="645"/>
        <w:gridCol w:w="675"/>
        <w:gridCol w:w="782"/>
        <w:gridCol w:w="2"/>
        <w:gridCol w:w="1024"/>
        <w:gridCol w:w="1628"/>
        <w:gridCol w:w="3"/>
        <w:gridCol w:w="1687"/>
      </w:tblGrid>
      <w:tr>
        <w:trPr>
          <w:cantSplit w:val="false"/>
        </w:trPr>
        <w:tc>
          <w:tcPr>
            <w:tcW w:w="12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Пролет,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  <w:lang w:val="en-US"/>
              </w:rPr>
              <w:t>L</w:t>
            </w:r>
            <w:r>
              <w:rPr>
                <w:u w:val="none"/>
              </w:rPr>
              <w:t>к, м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Высота подъема,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м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С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В</w:t>
            </w:r>
          </w:p>
        </w:tc>
        <w:tc>
          <w:tcPr>
            <w:tcW w:w="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В1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Н*</w:t>
            </w:r>
          </w:p>
        </w:tc>
        <w:tc>
          <w:tcPr>
            <w:tcW w:w="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u w:val="none"/>
                <w:lang w:val="en-US"/>
              </w:rPr>
            </w:pPr>
            <w:r>
              <w:rPr>
                <w:sz w:val="24"/>
                <w:szCs w:val="24"/>
                <w:u w:val="none"/>
                <w:lang w:val="en-US"/>
              </w:rPr>
              <w:t>h</w:t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Нагрузка на колесо при работе крана, кН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Конструк-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тивная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масса крана, т</w:t>
            </w:r>
          </w:p>
        </w:tc>
        <w:tc>
          <w:tcPr>
            <w:tcW w:w="16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Ширина головки подкрано- вого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рельса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(рекомендо-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ванная)</w:t>
            </w:r>
          </w:p>
        </w:tc>
      </w:tr>
      <w:tr>
        <w:trPr>
          <w:cantSplit w:val="false"/>
        </w:trPr>
        <w:tc>
          <w:tcPr>
            <w:tcW w:w="120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</w:r>
          </w:p>
        </w:tc>
        <w:tc>
          <w:tcPr>
            <w:tcW w:w="363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мм, не более</w:t>
            </w:r>
          </w:p>
        </w:tc>
        <w:tc>
          <w:tcPr>
            <w:tcW w:w="26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не более</w:t>
            </w: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10,5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6; 9;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12; 18;</w:t>
            </w:r>
          </w:p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24; 36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2000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2450</w:t>
            </w:r>
          </w:p>
        </w:tc>
        <w:tc>
          <w:tcPr>
            <w:tcW w:w="6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135</w:t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910</w:t>
            </w:r>
          </w:p>
        </w:tc>
        <w:tc>
          <w:tcPr>
            <w:tcW w:w="7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-146</w:t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61,5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4,00</w:t>
            </w:r>
          </w:p>
        </w:tc>
        <w:tc>
          <w:tcPr>
            <w:tcW w:w="169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КР 70</w:t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13,5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2600</w:t>
            </w:r>
          </w:p>
        </w:tc>
        <w:tc>
          <w:tcPr>
            <w:tcW w:w="7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3240</w:t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1200</w:t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67,2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5,21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16,5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69,0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5,98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(18,0)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4000</w:t>
            </w:r>
          </w:p>
        </w:tc>
        <w:tc>
          <w:tcPr>
            <w:tcW w:w="7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4640</w:t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69,9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6,32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19,5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70,5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6,58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22,5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1300</w:t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72,9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7,54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24,0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4650</w:t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74,6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8,95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  <w:tr>
        <w:trPr>
          <w:cantSplit w:val="false"/>
        </w:trPr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28,5</w:t>
            </w:r>
          </w:p>
        </w:tc>
        <w:tc>
          <w:tcPr>
            <w:tcW w:w="13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4500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5150</w:t>
            </w:r>
          </w:p>
        </w:tc>
        <w:tc>
          <w:tcPr>
            <w:tcW w:w="6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1600</w:t>
            </w:r>
          </w:p>
        </w:tc>
        <w:tc>
          <w:tcPr>
            <w:tcW w:w="7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85,7</w:t>
            </w:r>
          </w:p>
        </w:tc>
        <w:tc>
          <w:tcPr>
            <w:tcW w:w="1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  <w:t>12,85</w:t>
            </w:r>
          </w:p>
        </w:tc>
        <w:tc>
          <w:tcPr>
            <w:tcW w:w="1690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u w:val="none"/>
              </w:rPr>
            </w:pPr>
            <w:r>
              <w:rPr>
                <w:u w:val="none"/>
              </w:rPr>
            </w:r>
          </w:p>
        </w:tc>
      </w:tr>
    </w:tbl>
    <w:p>
      <w:pPr>
        <w:pStyle w:val="Normal"/>
        <w:widowControl w:val="false"/>
        <w:ind w:left="567" w:right="0" w:hanging="0"/>
        <w:rPr>
          <w:b w:val="false"/>
          <w:color w:val="000000"/>
          <w:u w:val="none"/>
        </w:rPr>
      </w:pPr>
      <w:r>
        <w:rPr>
          <w:b w:val="false"/>
          <w:color w:val="000000"/>
          <w:u w:val="none"/>
        </w:rPr>
      </w:r>
    </w:p>
    <w:tbl>
      <w:tblPr>
        <w:jc w:val="left"/>
        <w:tblInd w:w="466" w:type="dxa"/>
        <w:tblBorders>
          <w:top w:val="single" w:sz="6" w:space="0" w:color="00000A"/>
          <w:left w:val="single" w:sz="6" w:space="0" w:color="00000A"/>
          <w:bottom w:val="single" w:sz="6" w:space="0" w:color="00000A"/>
          <w:insideH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5385"/>
        <w:gridCol w:w="4678"/>
      </w:tblGrid>
      <w:tr>
        <w:trPr>
          <w:trHeight w:val="310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Грузоподъемность, т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58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smallCaps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 xml:space="preserve">Пролет </w:t>
            </w:r>
            <w:r>
              <w:rPr>
                <w:b w:val="false"/>
                <w:smallCaps/>
                <w:color w:val="000000"/>
                <w:sz w:val="22"/>
                <w:szCs w:val="22"/>
                <w:u w:val="none"/>
                <w:lang w:val="en-US"/>
              </w:rPr>
              <w:t>Lk, m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3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Высота подъема, м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66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Количество кранов, шт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57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Наименование предприятия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4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Адрес предприятия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46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Ф.И.О., должность, подпись заказчика,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62" w:hRule="atLeast"/>
          <w:cantSplit w:val="false"/>
        </w:trPr>
        <w:tc>
          <w:tcPr>
            <w:tcW w:w="5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2"/>
                <w:szCs w:val="22"/>
                <w:u w:val="none"/>
              </w:rPr>
            </w:pPr>
            <w:r>
              <w:rPr>
                <w:b w:val="false"/>
                <w:color w:val="000000"/>
                <w:sz w:val="22"/>
                <w:szCs w:val="22"/>
                <w:u w:val="none"/>
              </w:rPr>
              <w:t>Дополнительные требования</w:t>
            </w: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rPr/>
      </w:pPr>
      <w:r>
        <w:rPr/>
      </w:r>
    </w:p>
    <w:tbl>
      <w:tblPr>
        <w:jc w:val="left"/>
        <w:tblInd w:w="108" w:type="dxa"/>
        <w:tblBorders>
          <w:top w:val="nil"/>
          <w:left w:val="nil"/>
          <w:bottom w:val="nil"/>
          <w:insideH w:val="nil"/>
          <w:right w:val="thickThinSmallGap" w:sz="12" w:space="0" w:color="00000A"/>
          <w:insideV w:val="thickThinSmallGap" w:sz="12" w:space="0" w:color="00000A"/>
        </w:tblBorders>
        <w:tblCellMar>
          <w:top w:w="0" w:type="dxa"/>
          <w:left w:w="113" w:type="dxa"/>
          <w:bottom w:w="0" w:type="dxa"/>
          <w:right w:w="108" w:type="dxa"/>
        </w:tblCellMar>
      </w:tblPr>
      <w:tblGrid>
        <w:gridCol w:w="2551"/>
        <w:gridCol w:w="6804"/>
      </w:tblGrid>
      <w:tr>
        <w:trPr>
          <w:trHeight w:val="759" w:hRule="atLeast"/>
          <w:cantSplit w:val="true"/>
        </w:trPr>
        <w:tc>
          <w:tcPr>
            <w:tcW w:w="2551" w:type="dxa"/>
            <w:tcBorders>
              <w:top w:val="nil"/>
              <w:left w:val="nil"/>
              <w:bottom w:val="nil"/>
              <w:insideH w:val="nil"/>
              <w:right w:val="thickThinSmallGap" w:sz="12" w:space="0" w:color="00000A"/>
              <w:insideV w:val="thickThinSmallGap" w:sz="12" w:space="0" w:color="00000A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</w:tc>
        <w:tc>
          <w:tcPr>
            <w:tcW w:w="6804" w:type="dxa"/>
            <w:tcBorders>
              <w:top w:val="thinThickSmallGap" w:sz="12" w:space="0" w:color="00000A"/>
              <w:left w:val="thinThickSmallGap" w:sz="12" w:space="0" w:color="00000A"/>
              <w:bottom w:val="thickThinSmallGap" w:sz="12" w:space="0" w:color="00000A"/>
              <w:insideH w:val="thickThinSmallGap" w:sz="12" w:space="0" w:color="00000A"/>
              <w:right w:val="thickThinSmallGap" w:sz="12" w:space="0" w:color="00000A"/>
              <w:insideV w:val="thickThinSmallGap" w:sz="12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8"/>
              </w:rPr>
              <w:t>ООО «</w:t>
            </w:r>
            <w:r>
              <w:rPr>
                <w:rFonts w:ascii="Verdana" w:hAnsi="Verdana"/>
                <w:sz w:val="28"/>
              </w:rPr>
              <w:t xml:space="preserve">ЗПТО </w:t>
            </w:r>
            <w:r>
              <w:rPr>
                <w:rFonts w:ascii="Verdana" w:hAnsi="Verdana"/>
                <w:sz w:val="28"/>
              </w:rPr>
              <w:t xml:space="preserve">«КРАНМАШ» </w:t>
            </w:r>
            <w:r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 (8352) 27-55-56; 27-55-57</w:t>
            </w:r>
          </w:p>
          <w:p>
            <w:pPr>
              <w:pStyle w:val="Normal"/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</w:rPr>
              <w:t xml:space="preserve">факс: 30-86-36, </w:t>
            </w:r>
            <w:r>
              <w:rPr>
                <w:sz w:val="22"/>
                <w:szCs w:val="22"/>
                <w:u w:val="none"/>
                <w:lang w:val="en-US"/>
              </w:rPr>
              <w:t>kranmash@list.ru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077" w:right="851" w:header="0" w:top="340" w:footer="0" w:bottom="249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Verdan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a62d76"/>
    <w:pPr>
      <w:widowControl/>
      <w:suppressAutoHyphens w:val="true"/>
      <w:bidi w:val="0"/>
      <w:spacing w:lineRule="auto" w:line="240" w:before="0" w:after="0"/>
      <w:jc w:val="left"/>
    </w:pPr>
    <w:rPr>
      <w:rFonts w:ascii="Verdana" w:hAnsi="Verdana" w:eastAsia="Times New Roman" w:cs="Times New Roman"/>
      <w:b/>
      <w:color w:val="auto"/>
      <w:sz w:val="20"/>
      <w:szCs w:val="20"/>
      <w:u w:val="single"/>
      <w:lang w:eastAsia="ru-RU" w:val="ru-RU" w:bidi="ar-SA"/>
    </w:rPr>
  </w:style>
  <w:style w:type="paragraph" w:styleId="4">
    <w:name w:val="Заголовок 4"/>
    <w:qFormat/>
    <w:link w:val="40"/>
    <w:rsid w:val="00a62d76"/>
    <w:basedOn w:val="Normal"/>
    <w:pPr>
      <w:keepNext/>
      <w:outlineLvl w:val="3"/>
    </w:pPr>
    <w:rPr>
      <w:rFonts w:ascii="Times New Roman" w:hAnsi="Times New Roman"/>
      <w:u w:val="non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41" w:customStyle="1">
    <w:name w:val="Заголовок 4 Знак"/>
    <w:link w:val="4"/>
    <w:rsid w:val="00a62d76"/>
    <w:basedOn w:val="DefaultParagraphFont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Style13" w:customStyle="1">
    <w:name w:val="Текст выноски Знак"/>
    <w:uiPriority w:val="99"/>
    <w:semiHidden/>
    <w:link w:val="a3"/>
    <w:rsid w:val="00a62d76"/>
    <w:basedOn w:val="DefaultParagraphFont"/>
    <w:rPr>
      <w:rFonts w:ascii="Tahoma" w:hAnsi="Tahoma" w:eastAsia="Times New Roman" w:cs="Tahoma"/>
      <w:b/>
      <w:sz w:val="16"/>
      <w:szCs w:val="16"/>
      <w:u w:val="single"/>
      <w:lang w:eastAsia="ru-RU"/>
    </w:rPr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Mang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Mangal"/>
    </w:rPr>
  </w:style>
  <w:style w:type="paragraph" w:styleId="BalloonText">
    <w:name w:val="Balloon Text"/>
    <w:uiPriority w:val="99"/>
    <w:semiHidden/>
    <w:unhideWhenUsed/>
    <w:link w:val="a4"/>
    <w:rsid w:val="00a62d76"/>
    <w:basedOn w:val="Normal"/>
    <w:pPr/>
    <w:rPr>
      <w:rFonts w:ascii="Tahoma" w:hAnsi="Tahoma" w:cs="Tahoma"/>
      <w:sz w:val="16"/>
      <w:szCs w:val="16"/>
    </w:rPr>
  </w:style>
  <w:style w:type="paragraph" w:styleId="Style19">
    <w:name w:val="Содержимое врезки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2012-10-11T07:41:00Z</dcterms:created>
  <dc:creator>саша</dc:creator>
  <dc:language>ru-RU</dc:language>
  <cp:lastModifiedBy>саша</cp:lastModifiedBy>
  <dcterms:modified xsi:type="dcterms:W3CDTF">2012-10-11T07:48:00Z</dcterms:modified>
  <cp:revision>2</cp:revision>
</cp:coreProperties>
</file>